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0F1F3D"/>
          <w:sz w:val="34"/>
          <w:szCs w:val="34"/>
        </w:rPr>
        <w:t xml:space="preserve">Evaluación de impacto en protección de datos</w:t>
      </w:r>
    </w:p>
    <w:p>
      <w:pPr>
        <w:spacing w:after="240"/>
      </w:pPr>
      <w:r>
        <w:rPr>
          <w:rFonts w:ascii="Arial" w:cs="Arial" w:eastAsia="Arial" w:hAnsi="Arial"/>
          <w:color w:val="6B7570"/>
          <w:sz w:val="20"/>
          <w:szCs w:val="20"/>
        </w:rPr>
        <w:t xml:space="preserve">Ley 19.628, modificada por la Ley 21.719, art. 15 ter · Estructura para completar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Cómo usar esta plantilla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La evaluación se hace antes de iniciar un tratamiento que pueda producir un alto riesgo para las personas, y es obligatoria siempre en los casos del art. 15 ter (usa el checklist "¿Necesito una evaluación de impacto?").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La Agencia de Protección de Datos Personales fijará orientaciones mínimas que consideran, a lo menos, la descripción de las operaciones y su finalidad, la necesidad y proporcionalidad, y los riesgos y medidas de mitigación. Esta estructura sigue esos tres puntos; ajústala cuando la Agencia publique sus orientaciones.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Si el resultado muestra un alto riesgo, puedes consultar a la Agencia para obtener recomendaciones (art. 15 ter). Es voluntario.</w:t>
            </w:r>
          </w:p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Omitir la evaluación cuando es obligatoria es una infracción gravísima (art. 34 quáter k).</w:t>
            </w:r>
          </w:p>
        </w:tc>
      </w:tr>
    </w:tbl>
    <w:p>
      <w:pPr>
        <w:spacing w:after="120" w:line="30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1. Identificación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Responsable de datos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  <w:highlight w:val="yellow"/>
                <w:highlightCs w:val="yellow"/>
              </w:rPr>
              <w:t xml:space="preserve">[NOMBRE DE LA EMPRESA]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Tratamiento evaluado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Área responsable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Fecha y versión de la evaluación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Participantes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Área, TI o seguridad, legal, delegado de protección de datos si existe.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Caso del art. 15 ter que aplica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a) perfiles con efectos significativos · b) masivo o a gran escala · c) monitoreo de zona pública · d) datos sensibles sin consentimiento · otro alto riesgo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2. Descripción del tratamiento y su finalidad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Finalidad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Para qué se hará el tratamiento.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Base legal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Arts. 12, 13 o 16.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Datos y titulares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Qué datos, de quiénes y cuántas personas aproximadamente.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Operaciones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Cómo se recogen, se usan, dónde se guardan, quién accede.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Encargados y transferencias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Proveedores que tratan datos por cuenta tuya; envíos fuera de Chile.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Plazo de conservación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Tecnología usada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Sistemas, algoritmos o decisiones automatizadas.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3. Necesidad y proporcionalidad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¿Es necesario para la finalidad?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¿Hay una forma menos invasiva de lograr lo mismo?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¿Se usan solo los datos necesarios?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Principio de proporcionalidad (art. 3 c).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¿El plazo de conservación es el mínimo?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¿Cómo se informa a las personas?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Deber de información (art. 14 ter).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¿Cómo ejercen sus derechos?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Canal y procedimiento (arts. 4 a 11).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4. Riesgos para las personas</w:t>
      </w:r>
    </w:p>
    <w:p>
      <w:pPr>
        <w:spacing w:after="140" w:line="300"/>
      </w:pPr>
      <w:r>
        <w:rPr>
          <w:rFonts w:ascii="Arial" w:cs="Arial" w:eastAsia="Arial" w:hAnsi="Arial"/>
          <w:color w:val="6B7570"/>
          <w:sz w:val="21"/>
          <w:szCs w:val="21"/>
        </w:rPr>
        <w:t xml:space="preserve">Probabilidad y gravedad: baja, media o alta. Considera, por ejemplo, discriminación, pérdida de confidencialidad, fraude, daño a la reputación o pérdida de control sobre los datos.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000"/>
        <w:gridCol w:w="1400"/>
        <w:gridCol w:w="1400"/>
        <w:gridCol w:w="1660"/>
      </w:tblGrid>
      <w:tr>
        <w:trPr>
          <w:tblHeader/>
        </w:trPr>
        <w:tc>
          <w:tcPr>
            <w:tcW w:type="dxa" w:w="29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Riesgo</w:t>
            </w:r>
          </w:p>
        </w:tc>
        <w:tc>
          <w:tcPr>
            <w:tcW w:type="dxa" w:w="2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Origen</w:t>
            </w:r>
          </w:p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Probabilidad</w:t>
            </w:r>
          </w:p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Gravedad</w:t>
            </w:r>
          </w:p>
        </w:tc>
        <w:tc>
          <w:tcPr>
            <w:tcW w:type="dxa" w:w="16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Nivel</w:t>
            </w:r>
          </w:p>
        </w:tc>
      </w:tr>
      <w:tr>
        <w:tc>
          <w:tcPr>
            <w:tcW w:type="dxa" w:w="29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  <w:highlight w:val="yellow"/>
                <w:highlightCs w:val="yellow"/>
              </w:rPr>
              <w:t xml:space="preserve">[EJEMPLO: ACCESO NO AUTORIZADO A IMÁGENES DE CÁMARAS]</w:t>
            </w:r>
          </w:p>
        </w:tc>
        <w:tc>
          <w:tcPr>
            <w:tcW w:type="dxa" w:w="2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  <w:highlight w:val="yellow"/>
                <w:highlightCs w:val="yellow"/>
              </w:rPr>
              <w:t xml:space="preserve">[PERSONAL EXTERNO CON ACCESO AL GRABADOR]</w:t>
            </w:r>
          </w:p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Media</w:t>
            </w:r>
          </w:p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Alta</w:t>
            </w:r>
          </w:p>
        </w:tc>
        <w:tc>
          <w:tcPr>
            <w:tcW w:type="dxa" w:w="16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Alto</w:t>
            </w:r>
          </w:p>
        </w:tc>
      </w:tr>
      <w:tr>
        <w:trPr>
          <w:trHeight w:val="420" w:hRule="atLeast"/>
        </w:trPr>
        <w:tc>
          <w:tcPr>
            <w:tcW w:type="dxa" w:w="29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9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9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9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9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0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5. Medidas para reducir los riesgos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600"/>
        <w:gridCol w:w="1600"/>
        <w:gridCol w:w="1560"/>
      </w:tblGrid>
      <w:tr>
        <w:trPr>
          <w:tblHeader/>
        </w:trPr>
        <w:tc>
          <w:tcPr>
            <w:tcW w:type="dxa" w:w="2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Riesgo</w:t>
            </w:r>
          </w:p>
        </w:tc>
        <w:tc>
          <w:tcPr>
            <w:tcW w:type="dxa" w:w="3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Medida</w:t>
            </w:r>
          </w:p>
        </w:tc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15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0F1F3D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Plazo</w:t>
            </w:r>
          </w:p>
        </w:tc>
      </w:tr>
      <w:tr>
        <w:tc>
          <w:tcPr>
            <w:tcW w:type="dxa" w:w="2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  <w:highlight w:val="yellow"/>
                <w:highlightCs w:val="yellow"/>
              </w:rPr>
              <w:t xml:space="preserve">[EJEMPLO: ACCESO NO AUTORIZADO]</w:t>
            </w:r>
          </w:p>
        </w:tc>
        <w:tc>
          <w:tcPr>
            <w:tcW w:type="dxa" w:w="3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  <w:highlight w:val="yellow"/>
                <w:highlightCs w:val="yellow"/>
              </w:rPr>
              <w:t xml:space="preserve">[ACCESO CON CLAVE PERSONAL, REGISTRO DE ACCESOS Y BORRADO A LOS 30 DÍAS]</w:t>
            </w:r>
          </w:p>
        </w:tc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  <w:highlight w:val="yellow"/>
                <w:highlightCs w:val="yellow"/>
              </w:rPr>
              <w:t xml:space="preserve">[NOMBRE]</w:t>
            </w:r>
          </w:p>
        </w:tc>
        <w:tc>
          <w:tcPr>
            <w:tcW w:type="dxa" w:w="15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  <w:highlight w:val="yellow"/>
                <w:highlightCs w:val="yellow"/>
              </w:rPr>
              <w:t xml:space="preserve">[FECHA]</w:t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6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6.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Riesgo residual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Después de las medidas: bajo, medio o alto.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Decisión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Se inicia el tratamiento · se inicia con condiciones · no se inicia · se consulta a la Agencia.</w:t>
            </w:r>
          </w:p>
        </w:tc>
      </w:tr>
      <w:tr>
        <w:trPr>
          <w:trHeight w:val="900" w:hRule="atLeast"/>
        </w:trP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Fundamento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2A5FC1"/>
          <w:sz w:val="26"/>
          <w:szCs w:val="26"/>
        </w:rPr>
        <w:t xml:space="preserve">7. Aprobación y 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Aprobado por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Nombre, cargo y fecha.</w:t>
            </w:r>
          </w:p>
        </w:tc>
      </w:tr>
      <w:tr>
        <w:tc>
          <w:tcPr>
            <w:tcW w:type="dxa" w:w="320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shd w:fill="F1F4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Próxima revisión</w:t>
            </w:r>
          </w:p>
        </w:tc>
        <w:tc>
          <w:tcPr>
            <w:tcW w:type="dxa" w:w="6160"/>
            <w:tcBorders>
              <w:top w:val="single" w:color="C9D1DD" w:sz="4"/>
              <w:left w:val="single" w:color="C9D1DD" w:sz="4"/>
              <w:bottom w:val="single" w:color="C9D1DD" w:sz="4"/>
              <w:right w:val="single" w:color="C9D1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7570"/>
                <w:sz w:val="18"/>
                <w:szCs w:val="18"/>
              </w:rPr>
              <w:t xml:space="preserve">Al menos una vez al año o cuando cambie el tratamiento.</w:t>
            </w:r>
          </w:p>
        </w:tc>
      </w:tr>
    </w:tbl>
    <w:p>
      <w:pPr>
        <w:spacing w:after="60" w:line="3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2A5FC1" w:sz="24"/>
              <w:bottom w:val="none" w:color="FFFFFF" w:sz="0"/>
              <w:right w:val="none" w:color="FFFFFF" w:sz="0"/>
            </w:tcBorders>
            <w:shd w:fill="E8EF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line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En Cumple21 las evaluaciones de impacto se hacen paso a paso desde cada tratamiento del registro, con historial de versiones y recordatorio de revisión. Prueba gratis 14 días en cumple21.cl.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570"/>
        <w:sz w:val="15"/>
        <w:szCs w:val="15"/>
      </w:rPr>
      <w:t xml:space="preserve">Plantilla gratuita de Cumple21 · Versión 1 · octubre de 2026 · cumple21.cl/ley-21719 · Modelo general, no reemplaza la asesoría legal.   Página </w:t>
    </w:r>
    <w:r>
      <w:rPr>
        <w:rFonts w:ascii="Arial" w:cs="Arial" w:eastAsia="Arial" w:hAnsi="Arial"/>
        <w:color w:val="6B75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</w:pPr>
    <w:r>
      <w:drawing>
        <wp:inline distT="0" distB="0" distL="0" distR="0">
          <wp:extent cx="10287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d715d622cd04216ab2577634e8438a4dbe185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impacto en protección de datos</dc:title>
  <dc:creator>Cumple21</dc:creator>
  <dc:description>Plantilla gratuita de Cumple21 para la Ley 21.719</dc:description>
  <cp:lastModifiedBy>Un-named</cp:lastModifiedBy>
  <cp:revision>1</cp:revision>
  <dcterms:created xsi:type="dcterms:W3CDTF">2026-10-09T19:01:37.437Z</dcterms:created>
  <dcterms:modified xsi:type="dcterms:W3CDTF">2026-10-09T19:01:37.437Z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